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pPr w:leftFromText="141" w:rightFromText="141" w:vertAnchor="page" w:horzAnchor="margin" w:tblpY="2241"/>
        <w:tblW w:w="0" w:type="auto"/>
        <w:tblLook w:val="04A0" w:firstRow="1" w:lastRow="0" w:firstColumn="1" w:lastColumn="0" w:noHBand="0" w:noVBand="1"/>
      </w:tblPr>
      <w:tblGrid>
        <w:gridCol w:w="1701"/>
        <w:gridCol w:w="1701"/>
        <w:gridCol w:w="5524"/>
      </w:tblGrid>
      <w:tr w:rsidR="00536ABE" w:rsidRPr="00536ABE" w14:paraId="314DE8D4" w14:textId="77777777" w:rsidTr="00467321">
        <w:tc>
          <w:tcPr>
            <w:tcW w:w="1701" w:type="dxa"/>
          </w:tcPr>
          <w:p w14:paraId="3BDB8370" w14:textId="77777777" w:rsidR="003E291D" w:rsidRPr="00536ABE" w:rsidRDefault="00160040" w:rsidP="00467321">
            <w:pPr>
              <w:spacing w:before="0" w:beforeAutospacing="0" w:after="0" w:afterAutospacing="0"/>
              <w:rPr>
                <w:rFonts w:eastAsia="Times New Roman" w:cs="Times New Roman"/>
                <w:b/>
                <w:szCs w:val="24"/>
                <w:lang w:eastAsia="de-DE"/>
              </w:rPr>
            </w:pPr>
            <w:r w:rsidRPr="00536ABE">
              <w:rPr>
                <w:rFonts w:eastAsia="Times New Roman" w:cs="Times New Roman"/>
                <w:b/>
                <w:szCs w:val="24"/>
                <w:lang w:eastAsia="de-DE"/>
              </w:rPr>
              <w:t>Tag</w:t>
            </w:r>
          </w:p>
        </w:tc>
        <w:tc>
          <w:tcPr>
            <w:tcW w:w="1701" w:type="dxa"/>
          </w:tcPr>
          <w:p w14:paraId="6F4E266B" w14:textId="77777777" w:rsidR="003E291D" w:rsidRPr="00536ABE" w:rsidRDefault="00160040" w:rsidP="00467321">
            <w:pPr>
              <w:spacing w:before="0" w:beforeAutospacing="0" w:after="0" w:afterAutospacing="0"/>
              <w:rPr>
                <w:rFonts w:eastAsia="Times New Roman" w:cs="Times New Roman"/>
                <w:b/>
                <w:szCs w:val="24"/>
                <w:lang w:eastAsia="de-DE"/>
              </w:rPr>
            </w:pPr>
            <w:r w:rsidRPr="00536ABE">
              <w:rPr>
                <w:rFonts w:eastAsia="Times New Roman" w:cs="Times New Roman"/>
                <w:b/>
                <w:szCs w:val="24"/>
                <w:lang w:eastAsia="de-DE"/>
              </w:rPr>
              <w:t>Datum</w:t>
            </w:r>
          </w:p>
        </w:tc>
        <w:tc>
          <w:tcPr>
            <w:tcW w:w="5524" w:type="dxa"/>
          </w:tcPr>
          <w:p w14:paraId="2424C2B2" w14:textId="77777777" w:rsidR="003E291D" w:rsidRPr="00536ABE" w:rsidRDefault="00160040" w:rsidP="00467321">
            <w:pPr>
              <w:spacing w:before="0" w:beforeAutospacing="0" w:after="0" w:afterAutospacing="0"/>
              <w:rPr>
                <w:rFonts w:cs="Times New Roman"/>
                <w:szCs w:val="24"/>
              </w:rPr>
            </w:pPr>
            <w:r w:rsidRPr="00536ABE">
              <w:rPr>
                <w:rFonts w:cs="Times New Roman"/>
                <w:szCs w:val="24"/>
              </w:rPr>
              <w:t>Inhalt</w:t>
            </w:r>
          </w:p>
        </w:tc>
      </w:tr>
      <w:tr w:rsidR="00536ABE" w:rsidRPr="00536ABE" w14:paraId="7D4CC668" w14:textId="77777777" w:rsidTr="00467321">
        <w:tc>
          <w:tcPr>
            <w:tcW w:w="1701" w:type="dxa"/>
          </w:tcPr>
          <w:p w14:paraId="14E9CF68" w14:textId="7044529C" w:rsidR="003E291D" w:rsidRPr="00536ABE" w:rsidRDefault="003E291D" w:rsidP="00467321">
            <w:pPr>
              <w:spacing w:before="0" w:beforeAutospacing="0" w:after="0" w:afterAutospacing="0"/>
              <w:rPr>
                <w:rFonts w:eastAsia="Times New Roman" w:cs="Times New Roman"/>
                <w:szCs w:val="24"/>
                <w:lang w:eastAsia="de-DE"/>
              </w:rPr>
            </w:pPr>
          </w:p>
        </w:tc>
        <w:tc>
          <w:tcPr>
            <w:tcW w:w="1701" w:type="dxa"/>
          </w:tcPr>
          <w:p w14:paraId="68C679B5" w14:textId="082227CE" w:rsidR="003E291D" w:rsidRPr="00536ABE" w:rsidRDefault="003E291D" w:rsidP="00467321">
            <w:pPr>
              <w:spacing w:before="0" w:beforeAutospacing="0" w:after="0" w:afterAutospacing="0"/>
              <w:rPr>
                <w:rFonts w:eastAsia="Times New Roman" w:cs="Times New Roman"/>
                <w:szCs w:val="24"/>
                <w:lang w:eastAsia="de-DE"/>
              </w:rPr>
            </w:pPr>
          </w:p>
        </w:tc>
        <w:tc>
          <w:tcPr>
            <w:tcW w:w="5524" w:type="dxa"/>
          </w:tcPr>
          <w:p w14:paraId="2138060C" w14:textId="77777777" w:rsidR="003E291D" w:rsidRPr="00536ABE" w:rsidRDefault="00E152A7" w:rsidP="00467321">
            <w:pPr>
              <w:spacing w:before="0" w:beforeAutospacing="0" w:after="0" w:afterAutospacing="0"/>
              <w:rPr>
                <w:rFonts w:cs="Times New Roman"/>
                <w:szCs w:val="24"/>
              </w:rPr>
            </w:pPr>
            <w:r w:rsidRPr="00536ABE">
              <w:rPr>
                <w:rFonts w:cs="Times New Roman"/>
                <w:szCs w:val="24"/>
              </w:rPr>
              <w:t xml:space="preserve">Goertz &amp; </w:t>
            </w:r>
            <w:proofErr w:type="spellStart"/>
            <w:r w:rsidRPr="00536ABE">
              <w:rPr>
                <w:rFonts w:cs="Times New Roman"/>
                <w:szCs w:val="24"/>
              </w:rPr>
              <w:t>Baeßler</w:t>
            </w:r>
            <w:proofErr w:type="spellEnd"/>
            <w:r w:rsidRPr="00536ABE">
              <w:rPr>
                <w:rFonts w:cs="Times New Roman"/>
                <w:szCs w:val="24"/>
              </w:rPr>
              <w:t xml:space="preserve"> (2018). Überblicksstudie zum Thema Digitalisierung in der Lehrerbildung. </w:t>
            </w:r>
            <w:r w:rsidR="00724D78" w:rsidRPr="00536ABE">
              <w:rPr>
                <w:rFonts w:cs="Times New Roman"/>
                <w:szCs w:val="24"/>
              </w:rPr>
              <w:t xml:space="preserve">Brinkmann et al. (2018). Lehramtsstudium in der digitalen Welt. </w:t>
            </w:r>
          </w:p>
        </w:tc>
      </w:tr>
      <w:tr w:rsidR="00536ABE" w:rsidRPr="00536ABE" w14:paraId="5640195F" w14:textId="77777777" w:rsidTr="00467321">
        <w:tc>
          <w:tcPr>
            <w:tcW w:w="1701" w:type="dxa"/>
          </w:tcPr>
          <w:p w14:paraId="05649200" w14:textId="16D9072E" w:rsidR="003E291D" w:rsidRPr="00536ABE" w:rsidRDefault="003E291D" w:rsidP="00467321">
            <w:pPr>
              <w:spacing w:before="0" w:beforeAutospacing="0" w:after="0" w:afterAutospacing="0"/>
              <w:rPr>
                <w:rFonts w:eastAsia="Times New Roman" w:cs="Times New Roman"/>
                <w:szCs w:val="24"/>
                <w:lang w:eastAsia="de-DE"/>
              </w:rPr>
            </w:pPr>
          </w:p>
        </w:tc>
        <w:tc>
          <w:tcPr>
            <w:tcW w:w="1701" w:type="dxa"/>
          </w:tcPr>
          <w:p w14:paraId="7E41B42E" w14:textId="1EF523F0" w:rsidR="003E291D" w:rsidRPr="00536ABE" w:rsidRDefault="003E291D" w:rsidP="00467321">
            <w:pPr>
              <w:spacing w:before="0" w:beforeAutospacing="0" w:after="0" w:afterAutospacing="0"/>
              <w:rPr>
                <w:rFonts w:eastAsia="Times New Roman" w:cs="Times New Roman"/>
                <w:szCs w:val="24"/>
                <w:lang w:eastAsia="de-DE"/>
              </w:rPr>
            </w:pPr>
          </w:p>
        </w:tc>
        <w:tc>
          <w:tcPr>
            <w:tcW w:w="5524" w:type="dxa"/>
          </w:tcPr>
          <w:p w14:paraId="39AA5307" w14:textId="77777777" w:rsidR="002144DA" w:rsidRPr="00536ABE" w:rsidRDefault="00A75EFA" w:rsidP="00467321">
            <w:pPr>
              <w:spacing w:before="0" w:beforeAutospacing="0" w:after="0" w:afterAutospacing="0"/>
              <w:rPr>
                <w:rFonts w:cs="Times New Roman"/>
                <w:szCs w:val="24"/>
              </w:rPr>
            </w:pPr>
            <w:r w:rsidRPr="00536ABE">
              <w:rPr>
                <w:rFonts w:cs="Times New Roman"/>
                <w:szCs w:val="24"/>
              </w:rPr>
              <w:t>Mayer (2010)</w:t>
            </w:r>
            <w:r w:rsidR="00676023" w:rsidRPr="00536ABE">
              <w:rPr>
                <w:rFonts w:cs="Times New Roman"/>
                <w:szCs w:val="24"/>
              </w:rPr>
              <w:t>.</w:t>
            </w:r>
            <w:r w:rsidRPr="00536ABE">
              <w:rPr>
                <w:rFonts w:cs="Times New Roman"/>
                <w:szCs w:val="24"/>
              </w:rPr>
              <w:t xml:space="preserve"> </w:t>
            </w:r>
            <w:r w:rsidR="00D17FA5" w:rsidRPr="00536ABE">
              <w:rPr>
                <w:rFonts w:cs="Times New Roman"/>
                <w:szCs w:val="24"/>
              </w:rPr>
              <w:t>Multimedia</w:t>
            </w:r>
            <w:r w:rsidRPr="00536ABE">
              <w:rPr>
                <w:rFonts w:cs="Times New Roman"/>
                <w:szCs w:val="24"/>
              </w:rPr>
              <w:t>lernen.  Scheiter (2018)</w:t>
            </w:r>
            <w:r w:rsidR="00676023" w:rsidRPr="00536ABE">
              <w:rPr>
                <w:rFonts w:cs="Times New Roman"/>
                <w:szCs w:val="24"/>
              </w:rPr>
              <w:t>.</w:t>
            </w:r>
            <w:r w:rsidR="00444D02" w:rsidRPr="00536ABE">
              <w:rPr>
                <w:rFonts w:cs="Times New Roman"/>
                <w:szCs w:val="24"/>
              </w:rPr>
              <w:t xml:space="preserve"> </w:t>
            </w:r>
            <w:r w:rsidRPr="00536ABE">
              <w:rPr>
                <w:rFonts w:cs="Times New Roman"/>
                <w:szCs w:val="24"/>
              </w:rPr>
              <w:t xml:space="preserve">Multimediales Lernen.  </w:t>
            </w:r>
            <w:r w:rsidR="00F97A21" w:rsidRPr="00536ABE">
              <w:rPr>
                <w:rFonts w:cs="Times New Roman"/>
                <w:szCs w:val="24"/>
              </w:rPr>
              <w:t>Meyer-Stockmann (2018</w:t>
            </w:r>
            <w:r w:rsidRPr="00536ABE">
              <w:rPr>
                <w:rFonts w:cs="Times New Roman"/>
                <w:szCs w:val="24"/>
              </w:rPr>
              <w:t>)</w:t>
            </w:r>
            <w:r w:rsidR="00676023" w:rsidRPr="00536ABE">
              <w:rPr>
                <w:rFonts w:cs="Times New Roman"/>
                <w:szCs w:val="24"/>
              </w:rPr>
              <w:t>.</w:t>
            </w:r>
            <w:r w:rsidRPr="00536ABE">
              <w:rPr>
                <w:rFonts w:cs="Times New Roman"/>
                <w:szCs w:val="24"/>
              </w:rPr>
              <w:t xml:space="preserve"> </w:t>
            </w:r>
            <w:r w:rsidR="00444D02" w:rsidRPr="00536ABE">
              <w:rPr>
                <w:rFonts w:cs="Times New Roman"/>
                <w:szCs w:val="24"/>
              </w:rPr>
              <w:t>Evaluation multimedialen Lernens</w:t>
            </w:r>
            <w:r w:rsidRPr="00536ABE">
              <w:rPr>
                <w:rFonts w:cs="Times New Roman"/>
                <w:szCs w:val="24"/>
              </w:rPr>
              <w:t>.</w:t>
            </w:r>
            <w:r w:rsidR="003321BC" w:rsidRPr="00536ABE">
              <w:rPr>
                <w:rFonts w:cs="Times New Roman"/>
                <w:szCs w:val="24"/>
              </w:rPr>
              <w:t xml:space="preserve">  Zander &amp; Heidig (2019)</w:t>
            </w:r>
            <w:r w:rsidR="00676023" w:rsidRPr="00536ABE">
              <w:rPr>
                <w:rFonts w:cs="Times New Roman"/>
                <w:szCs w:val="24"/>
              </w:rPr>
              <w:t>.</w:t>
            </w:r>
            <w:r w:rsidR="003321BC" w:rsidRPr="00536ABE">
              <w:rPr>
                <w:rFonts w:cs="Times New Roman"/>
                <w:szCs w:val="24"/>
              </w:rPr>
              <w:t xml:space="preserve"> Motivationsdesign bei der Konzeption multimedialer Lernumgebungen.</w:t>
            </w:r>
          </w:p>
        </w:tc>
      </w:tr>
      <w:tr w:rsidR="00536ABE" w:rsidRPr="00536ABE" w14:paraId="429839EA" w14:textId="77777777" w:rsidTr="00467321">
        <w:tc>
          <w:tcPr>
            <w:tcW w:w="1701" w:type="dxa"/>
          </w:tcPr>
          <w:p w14:paraId="69488BA6" w14:textId="47E6C293" w:rsidR="00A45800" w:rsidRPr="00536ABE" w:rsidRDefault="00A45800" w:rsidP="00467321"/>
        </w:tc>
        <w:tc>
          <w:tcPr>
            <w:tcW w:w="1701" w:type="dxa"/>
          </w:tcPr>
          <w:p w14:paraId="1F225FBD" w14:textId="7AC36581" w:rsidR="00A45800" w:rsidRPr="00536ABE" w:rsidRDefault="00A45800" w:rsidP="00467321">
            <w:pPr>
              <w:spacing w:before="0" w:beforeAutospacing="0" w:after="0" w:afterAutospacing="0"/>
              <w:rPr>
                <w:rFonts w:cs="Times New Roman"/>
                <w:szCs w:val="24"/>
              </w:rPr>
            </w:pPr>
          </w:p>
        </w:tc>
        <w:tc>
          <w:tcPr>
            <w:tcW w:w="5524" w:type="dxa"/>
          </w:tcPr>
          <w:p w14:paraId="04BF8684" w14:textId="42B7E479" w:rsidR="00A45800" w:rsidRPr="00536ABE" w:rsidRDefault="00A45800" w:rsidP="00467321">
            <w:pPr>
              <w:spacing w:before="0" w:beforeAutospacing="0" w:after="0" w:afterAutospacing="0"/>
              <w:rPr>
                <w:rFonts w:cs="Times New Roman"/>
                <w:szCs w:val="24"/>
              </w:rPr>
            </w:pPr>
            <w:r w:rsidRPr="00536ABE">
              <w:rPr>
                <w:rFonts w:cs="Times New Roman"/>
                <w:szCs w:val="24"/>
              </w:rPr>
              <w:t>Herzig (2014). Wie wirksam sind digitale Medien im Unterricht.</w:t>
            </w:r>
            <w:r w:rsidR="00062913" w:rsidRPr="00536ABE">
              <w:rPr>
                <w:rFonts w:cs="Times New Roman"/>
                <w:szCs w:val="24"/>
              </w:rPr>
              <w:t xml:space="preserve"> </w:t>
            </w:r>
          </w:p>
        </w:tc>
      </w:tr>
      <w:tr w:rsidR="00536ABE" w:rsidRPr="00536ABE" w14:paraId="1E3278AF" w14:textId="77777777" w:rsidTr="00467321">
        <w:tc>
          <w:tcPr>
            <w:tcW w:w="1701" w:type="dxa"/>
          </w:tcPr>
          <w:p w14:paraId="64F2962E" w14:textId="3519F97B" w:rsidR="00A45800" w:rsidRPr="00536ABE" w:rsidRDefault="00A45800" w:rsidP="00467321"/>
        </w:tc>
        <w:tc>
          <w:tcPr>
            <w:tcW w:w="1701" w:type="dxa"/>
          </w:tcPr>
          <w:p w14:paraId="49784A30" w14:textId="4084A1A6" w:rsidR="00A45800" w:rsidRPr="00536ABE" w:rsidRDefault="00A45800" w:rsidP="00467321">
            <w:pPr>
              <w:spacing w:before="0" w:beforeAutospacing="0" w:after="0" w:afterAutospacing="0"/>
              <w:rPr>
                <w:rFonts w:cs="Times New Roman"/>
                <w:szCs w:val="24"/>
              </w:rPr>
            </w:pPr>
          </w:p>
        </w:tc>
        <w:tc>
          <w:tcPr>
            <w:tcW w:w="5524" w:type="dxa"/>
          </w:tcPr>
          <w:p w14:paraId="26C2E75C" w14:textId="23099C24" w:rsidR="00A45800" w:rsidRPr="00536ABE" w:rsidRDefault="00782B36" w:rsidP="00467321">
            <w:pPr>
              <w:spacing w:before="0" w:beforeAutospacing="0" w:after="0" w:afterAutospacing="0"/>
              <w:rPr>
                <w:rFonts w:cs="Times New Roman"/>
                <w:szCs w:val="24"/>
              </w:rPr>
            </w:pPr>
            <w:proofErr w:type="spellStart"/>
            <w:r w:rsidRPr="00536ABE">
              <w:rPr>
                <w:rFonts w:cs="Times New Roman"/>
                <w:szCs w:val="24"/>
                <w:lang w:val="en-US"/>
              </w:rPr>
              <w:t>Deimann</w:t>
            </w:r>
            <w:proofErr w:type="spellEnd"/>
            <w:r w:rsidRPr="00536ABE">
              <w:rPr>
                <w:rFonts w:cs="Times New Roman"/>
                <w:szCs w:val="24"/>
                <w:lang w:val="en-US"/>
              </w:rPr>
              <w:t xml:space="preserve"> (2019). </w:t>
            </w:r>
            <w:proofErr w:type="spellStart"/>
            <w:r w:rsidRPr="00536ABE">
              <w:rPr>
                <w:rFonts w:cs="Times New Roman"/>
                <w:szCs w:val="24"/>
                <w:lang w:val="en-US"/>
              </w:rPr>
              <w:t>Lernen</w:t>
            </w:r>
            <w:proofErr w:type="spellEnd"/>
            <w:r w:rsidRPr="00536ABE">
              <w:rPr>
                <w:rFonts w:cs="Times New Roman"/>
                <w:szCs w:val="24"/>
                <w:lang w:val="en-US"/>
              </w:rPr>
              <w:t xml:space="preserve"> </w:t>
            </w:r>
            <w:proofErr w:type="spellStart"/>
            <w:r w:rsidRPr="00536ABE">
              <w:rPr>
                <w:rFonts w:cs="Times New Roman"/>
                <w:szCs w:val="24"/>
                <w:lang w:val="en-US"/>
              </w:rPr>
              <w:t>mit</w:t>
            </w:r>
            <w:proofErr w:type="spellEnd"/>
            <w:r w:rsidRPr="00536ABE">
              <w:rPr>
                <w:rFonts w:cs="Times New Roman"/>
                <w:szCs w:val="24"/>
                <w:lang w:val="en-US"/>
              </w:rPr>
              <w:t xml:space="preserve"> Open Educational Resources.</w:t>
            </w:r>
          </w:p>
        </w:tc>
      </w:tr>
      <w:tr w:rsidR="00536ABE" w:rsidRPr="00536ABE" w14:paraId="3DA73EC9" w14:textId="77777777" w:rsidTr="00467321">
        <w:tc>
          <w:tcPr>
            <w:tcW w:w="1701" w:type="dxa"/>
          </w:tcPr>
          <w:p w14:paraId="342197FA" w14:textId="23C4D62B" w:rsidR="004F7238" w:rsidRPr="00536ABE" w:rsidRDefault="004F7238" w:rsidP="00467321">
            <w:pPr>
              <w:rPr>
                <w:rFonts w:eastAsia="Times New Roman" w:cs="Times New Roman"/>
                <w:szCs w:val="24"/>
                <w:lang w:eastAsia="de-DE"/>
              </w:rPr>
            </w:pPr>
          </w:p>
        </w:tc>
        <w:tc>
          <w:tcPr>
            <w:tcW w:w="1701" w:type="dxa"/>
          </w:tcPr>
          <w:p w14:paraId="07D0304F" w14:textId="16FAFDD5" w:rsidR="00A45800" w:rsidRPr="00536ABE" w:rsidRDefault="00A45800" w:rsidP="00467321">
            <w:pPr>
              <w:spacing w:before="0" w:beforeAutospacing="0" w:after="0" w:afterAutospacing="0"/>
              <w:rPr>
                <w:rFonts w:cs="Times New Roman"/>
                <w:szCs w:val="24"/>
              </w:rPr>
            </w:pPr>
          </w:p>
        </w:tc>
        <w:tc>
          <w:tcPr>
            <w:tcW w:w="5524" w:type="dxa"/>
          </w:tcPr>
          <w:p w14:paraId="58D9FC0C" w14:textId="18D62A5E" w:rsidR="00A45800" w:rsidRPr="00536ABE" w:rsidRDefault="00782B36" w:rsidP="00467321">
            <w:pPr>
              <w:spacing w:before="0" w:beforeAutospacing="0" w:after="0" w:afterAutospacing="0"/>
              <w:rPr>
                <w:rFonts w:cs="Times New Roman"/>
                <w:szCs w:val="24"/>
              </w:rPr>
            </w:pPr>
            <w:proofErr w:type="spellStart"/>
            <w:r w:rsidRPr="00536ABE">
              <w:rPr>
                <w:rFonts w:cs="Times New Roman"/>
                <w:szCs w:val="24"/>
              </w:rPr>
              <w:t>Narciss</w:t>
            </w:r>
            <w:proofErr w:type="spellEnd"/>
            <w:r w:rsidRPr="00536ABE">
              <w:rPr>
                <w:rFonts w:cs="Times New Roman"/>
                <w:szCs w:val="24"/>
              </w:rPr>
              <w:t xml:space="preserve"> (2018). Feedbackstrategien für interaktive Lernaufgaben. </w:t>
            </w:r>
          </w:p>
        </w:tc>
      </w:tr>
      <w:tr w:rsidR="00536ABE" w:rsidRPr="00536ABE" w14:paraId="3C742554" w14:textId="77777777" w:rsidTr="00467321">
        <w:tc>
          <w:tcPr>
            <w:tcW w:w="1701" w:type="dxa"/>
          </w:tcPr>
          <w:p w14:paraId="54208A79" w14:textId="35E898F0" w:rsidR="00A45800" w:rsidRPr="00536ABE" w:rsidRDefault="00A45800" w:rsidP="00467321"/>
        </w:tc>
        <w:tc>
          <w:tcPr>
            <w:tcW w:w="1701" w:type="dxa"/>
          </w:tcPr>
          <w:p w14:paraId="7F6D1B8B" w14:textId="374010BF" w:rsidR="00A45800" w:rsidRPr="00536ABE" w:rsidRDefault="00A45800" w:rsidP="00467321">
            <w:pPr>
              <w:spacing w:before="0" w:beforeAutospacing="0" w:after="0" w:afterAutospacing="0"/>
              <w:rPr>
                <w:rFonts w:cs="Times New Roman"/>
                <w:szCs w:val="24"/>
              </w:rPr>
            </w:pPr>
          </w:p>
        </w:tc>
        <w:tc>
          <w:tcPr>
            <w:tcW w:w="5524" w:type="dxa"/>
          </w:tcPr>
          <w:p w14:paraId="17C6B0AA" w14:textId="4FE17F1C" w:rsidR="00A45800" w:rsidRPr="00536ABE" w:rsidRDefault="00A45800" w:rsidP="00467321">
            <w:pPr>
              <w:spacing w:before="0" w:beforeAutospacing="0" w:after="0" w:afterAutospacing="0"/>
              <w:rPr>
                <w:rFonts w:cs="Times New Roman"/>
                <w:szCs w:val="24"/>
              </w:rPr>
            </w:pPr>
            <w:r w:rsidRPr="00536ABE">
              <w:rPr>
                <w:rFonts w:cs="Times New Roman"/>
                <w:szCs w:val="24"/>
              </w:rPr>
              <w:t>Perels-</w:t>
            </w:r>
            <w:proofErr w:type="spellStart"/>
            <w:r w:rsidRPr="00536ABE">
              <w:rPr>
                <w:rFonts w:cs="Times New Roman"/>
                <w:szCs w:val="24"/>
              </w:rPr>
              <w:t>Dörrenbächer</w:t>
            </w:r>
            <w:proofErr w:type="spellEnd"/>
            <w:r w:rsidRPr="00536ABE">
              <w:rPr>
                <w:rFonts w:cs="Times New Roman"/>
                <w:szCs w:val="24"/>
              </w:rPr>
              <w:t xml:space="preserve"> (2018). Selbstreguliertes Lernen und Bildungsmedien.</w:t>
            </w:r>
          </w:p>
        </w:tc>
      </w:tr>
      <w:tr w:rsidR="00536ABE" w:rsidRPr="00536ABE" w14:paraId="643E2C88" w14:textId="77777777" w:rsidTr="00467321">
        <w:tc>
          <w:tcPr>
            <w:tcW w:w="1701" w:type="dxa"/>
          </w:tcPr>
          <w:p w14:paraId="4EC8CA80" w14:textId="2FCF35E5" w:rsidR="00A45800" w:rsidRPr="00536ABE" w:rsidRDefault="00A45800" w:rsidP="00467321"/>
        </w:tc>
        <w:tc>
          <w:tcPr>
            <w:tcW w:w="1701" w:type="dxa"/>
          </w:tcPr>
          <w:p w14:paraId="080D792E" w14:textId="3B53691C" w:rsidR="00A45800" w:rsidRPr="00536ABE" w:rsidRDefault="00A45800" w:rsidP="00467321">
            <w:pPr>
              <w:spacing w:before="0" w:beforeAutospacing="0" w:after="0" w:afterAutospacing="0"/>
              <w:rPr>
                <w:rFonts w:cs="Times New Roman"/>
                <w:szCs w:val="24"/>
              </w:rPr>
            </w:pPr>
          </w:p>
        </w:tc>
        <w:tc>
          <w:tcPr>
            <w:tcW w:w="5524" w:type="dxa"/>
          </w:tcPr>
          <w:p w14:paraId="07EE83AD" w14:textId="01968727" w:rsidR="00A45800" w:rsidRPr="00536ABE" w:rsidRDefault="00A45800" w:rsidP="00467321">
            <w:pPr>
              <w:spacing w:before="0" w:beforeAutospacing="0" w:after="0" w:afterAutospacing="0"/>
              <w:rPr>
                <w:rFonts w:cs="Times New Roman"/>
                <w:szCs w:val="24"/>
              </w:rPr>
            </w:pPr>
            <w:r w:rsidRPr="00536ABE">
              <w:rPr>
                <w:rFonts w:cs="Times New Roman"/>
                <w:szCs w:val="24"/>
              </w:rPr>
              <w:t xml:space="preserve">Zander (2018). Erklärvideos als Format des E-Learnings. </w:t>
            </w:r>
          </w:p>
        </w:tc>
      </w:tr>
      <w:tr w:rsidR="00536ABE" w:rsidRPr="00536ABE" w14:paraId="20C8B954" w14:textId="77777777" w:rsidTr="00467321">
        <w:tc>
          <w:tcPr>
            <w:tcW w:w="1701" w:type="dxa"/>
          </w:tcPr>
          <w:p w14:paraId="403F4F73" w14:textId="09F425A0" w:rsidR="00A45800" w:rsidRPr="00536ABE" w:rsidRDefault="00A45800" w:rsidP="00467321"/>
        </w:tc>
        <w:tc>
          <w:tcPr>
            <w:tcW w:w="1701" w:type="dxa"/>
          </w:tcPr>
          <w:p w14:paraId="57D7B3C9" w14:textId="7654256B" w:rsidR="00A45800" w:rsidRPr="00536ABE" w:rsidRDefault="00A45800" w:rsidP="00467321">
            <w:pPr>
              <w:spacing w:before="0" w:beforeAutospacing="0" w:after="0" w:afterAutospacing="0"/>
              <w:rPr>
                <w:rFonts w:cs="Times New Roman"/>
                <w:szCs w:val="24"/>
              </w:rPr>
            </w:pPr>
          </w:p>
        </w:tc>
        <w:tc>
          <w:tcPr>
            <w:tcW w:w="5524" w:type="dxa"/>
          </w:tcPr>
          <w:p w14:paraId="09190B07" w14:textId="28312CF5" w:rsidR="00A45800" w:rsidRPr="00536ABE" w:rsidRDefault="00782B36" w:rsidP="00467321">
            <w:pPr>
              <w:spacing w:before="0" w:beforeAutospacing="0" w:after="0" w:afterAutospacing="0"/>
              <w:rPr>
                <w:rFonts w:cs="Times New Roman"/>
                <w:szCs w:val="24"/>
                <w:lang w:val="en-US"/>
              </w:rPr>
            </w:pPr>
            <w:r w:rsidRPr="00536ABE">
              <w:rPr>
                <w:rFonts w:cs="Times New Roman"/>
                <w:szCs w:val="24"/>
              </w:rPr>
              <w:t>Horn (2018). Rechtliche Aspekte des Einsatzes von Bildungstechnologien.</w:t>
            </w:r>
          </w:p>
        </w:tc>
      </w:tr>
      <w:tr w:rsidR="00536ABE" w:rsidRPr="00536ABE" w14:paraId="0C7354BD" w14:textId="77777777" w:rsidTr="00467321">
        <w:tc>
          <w:tcPr>
            <w:tcW w:w="1701" w:type="dxa"/>
          </w:tcPr>
          <w:p w14:paraId="4F7A7E51" w14:textId="152C5FDA" w:rsidR="00A45800" w:rsidRPr="00536ABE" w:rsidRDefault="00A45800" w:rsidP="00467321"/>
        </w:tc>
        <w:tc>
          <w:tcPr>
            <w:tcW w:w="1701" w:type="dxa"/>
          </w:tcPr>
          <w:p w14:paraId="294CC91C" w14:textId="6265E9E9" w:rsidR="00A45800" w:rsidRPr="00536ABE" w:rsidRDefault="00A45800" w:rsidP="00467321">
            <w:pPr>
              <w:spacing w:before="0" w:beforeAutospacing="0" w:after="0" w:afterAutospacing="0"/>
              <w:rPr>
                <w:rFonts w:cs="Times New Roman"/>
                <w:szCs w:val="24"/>
              </w:rPr>
            </w:pPr>
          </w:p>
        </w:tc>
        <w:tc>
          <w:tcPr>
            <w:tcW w:w="5524" w:type="dxa"/>
          </w:tcPr>
          <w:p w14:paraId="01CC0F4B" w14:textId="1A159E1A" w:rsidR="00A45800" w:rsidRPr="00536ABE" w:rsidRDefault="00A45800" w:rsidP="00467321">
            <w:pPr>
              <w:spacing w:before="0" w:beforeAutospacing="0" w:after="0" w:afterAutospacing="0"/>
              <w:rPr>
                <w:rFonts w:cs="Times New Roman"/>
                <w:szCs w:val="24"/>
                <w:lang w:val="en-US"/>
              </w:rPr>
            </w:pPr>
            <w:r w:rsidRPr="00536ABE">
              <w:rPr>
                <w:rFonts w:cs="Times New Roman"/>
                <w:szCs w:val="24"/>
                <w:lang w:val="en-US"/>
              </w:rPr>
              <w:t xml:space="preserve">Malone (2018). </w:t>
            </w:r>
            <w:proofErr w:type="spellStart"/>
            <w:r w:rsidRPr="00536ABE">
              <w:rPr>
                <w:rFonts w:cs="Times New Roman"/>
                <w:szCs w:val="24"/>
                <w:lang w:val="en-US"/>
              </w:rPr>
              <w:t>Technologiegestütztes</w:t>
            </w:r>
            <w:proofErr w:type="spellEnd"/>
            <w:r w:rsidRPr="00536ABE">
              <w:rPr>
                <w:rFonts w:cs="Times New Roman"/>
                <w:szCs w:val="24"/>
                <w:lang w:val="en-US"/>
              </w:rPr>
              <w:t xml:space="preserve"> Assessment, Online Assessment.</w:t>
            </w:r>
          </w:p>
        </w:tc>
      </w:tr>
      <w:tr w:rsidR="00536ABE" w:rsidRPr="00536ABE" w14:paraId="6647012D" w14:textId="77777777" w:rsidTr="00467321">
        <w:tc>
          <w:tcPr>
            <w:tcW w:w="1701" w:type="dxa"/>
          </w:tcPr>
          <w:p w14:paraId="3F869BBF" w14:textId="7ACB86ED" w:rsidR="00A45800" w:rsidRPr="00536ABE" w:rsidRDefault="00A45800" w:rsidP="00467321"/>
        </w:tc>
        <w:tc>
          <w:tcPr>
            <w:tcW w:w="1701" w:type="dxa"/>
          </w:tcPr>
          <w:p w14:paraId="2A11CAFE" w14:textId="6D0438E4" w:rsidR="00A45800" w:rsidRPr="00536ABE" w:rsidRDefault="00A45800" w:rsidP="00467321">
            <w:pPr>
              <w:spacing w:before="0" w:beforeAutospacing="0" w:after="0" w:afterAutospacing="0"/>
              <w:rPr>
                <w:rFonts w:cs="Times New Roman"/>
                <w:szCs w:val="24"/>
              </w:rPr>
            </w:pPr>
          </w:p>
        </w:tc>
        <w:tc>
          <w:tcPr>
            <w:tcW w:w="5524" w:type="dxa"/>
          </w:tcPr>
          <w:p w14:paraId="07A529F3" w14:textId="324DFBC5" w:rsidR="00782B36" w:rsidRPr="00536ABE" w:rsidRDefault="00782B36" w:rsidP="00467321">
            <w:pPr>
              <w:spacing w:before="0" w:beforeAutospacing="0" w:after="0" w:afterAutospacing="0"/>
              <w:rPr>
                <w:rFonts w:cs="Times New Roman"/>
                <w:szCs w:val="24"/>
              </w:rPr>
            </w:pPr>
            <w:r w:rsidRPr="00536ABE">
              <w:rPr>
                <w:rFonts w:cs="Times New Roman"/>
                <w:szCs w:val="24"/>
              </w:rPr>
              <w:t>Weinberger (2018). Computer-unterstützte Kooperative Lernszenarien.</w:t>
            </w:r>
          </w:p>
        </w:tc>
      </w:tr>
      <w:tr w:rsidR="00536ABE" w:rsidRPr="00536ABE" w14:paraId="77D78A83" w14:textId="77777777" w:rsidTr="00467321">
        <w:tc>
          <w:tcPr>
            <w:tcW w:w="1701" w:type="dxa"/>
          </w:tcPr>
          <w:p w14:paraId="4D051A80" w14:textId="56077A56" w:rsidR="00A45800" w:rsidRPr="00536ABE" w:rsidRDefault="00A45800" w:rsidP="00467321"/>
        </w:tc>
        <w:tc>
          <w:tcPr>
            <w:tcW w:w="1701" w:type="dxa"/>
          </w:tcPr>
          <w:p w14:paraId="57D683B4" w14:textId="77ED2AA7" w:rsidR="00A45800" w:rsidRPr="00536ABE" w:rsidRDefault="00A45800" w:rsidP="00467321">
            <w:pPr>
              <w:spacing w:before="0" w:beforeAutospacing="0" w:after="0" w:afterAutospacing="0"/>
              <w:rPr>
                <w:rFonts w:cs="Times New Roman"/>
                <w:szCs w:val="24"/>
              </w:rPr>
            </w:pPr>
          </w:p>
        </w:tc>
        <w:tc>
          <w:tcPr>
            <w:tcW w:w="5524" w:type="dxa"/>
          </w:tcPr>
          <w:p w14:paraId="5B877D1C" w14:textId="541DFCFD" w:rsidR="00A45800" w:rsidRPr="00536ABE" w:rsidRDefault="00A45800" w:rsidP="00467321">
            <w:pPr>
              <w:spacing w:before="0" w:beforeAutospacing="0" w:after="0" w:afterAutospacing="0"/>
              <w:rPr>
                <w:rFonts w:cs="Times New Roman"/>
                <w:szCs w:val="24"/>
              </w:rPr>
            </w:pPr>
            <w:proofErr w:type="spellStart"/>
            <w:r w:rsidRPr="00536ABE">
              <w:rPr>
                <w:rFonts w:cs="Times New Roman"/>
                <w:szCs w:val="24"/>
              </w:rPr>
              <w:t>Nistor</w:t>
            </w:r>
            <w:proofErr w:type="spellEnd"/>
            <w:r w:rsidRPr="00536ABE">
              <w:rPr>
                <w:rFonts w:cs="Times New Roman"/>
                <w:szCs w:val="24"/>
              </w:rPr>
              <w:t xml:space="preserve"> (2018). Akzeptanz Von Bildungstechnologien.</w:t>
            </w:r>
          </w:p>
        </w:tc>
      </w:tr>
      <w:tr w:rsidR="00536ABE" w:rsidRPr="00536ABE" w14:paraId="6DC6E7F0" w14:textId="77777777" w:rsidTr="00467321">
        <w:tc>
          <w:tcPr>
            <w:tcW w:w="1701" w:type="dxa"/>
          </w:tcPr>
          <w:p w14:paraId="22E9C0A6" w14:textId="608A3AB5" w:rsidR="00A45800" w:rsidRPr="00536ABE" w:rsidRDefault="00A45800" w:rsidP="00467321">
            <w:pPr>
              <w:rPr>
                <w:rFonts w:eastAsia="Times New Roman" w:cs="Times New Roman"/>
                <w:szCs w:val="24"/>
                <w:lang w:eastAsia="de-DE"/>
              </w:rPr>
            </w:pPr>
          </w:p>
        </w:tc>
        <w:tc>
          <w:tcPr>
            <w:tcW w:w="1701" w:type="dxa"/>
          </w:tcPr>
          <w:p w14:paraId="7C9059EC" w14:textId="31FB1D47" w:rsidR="00A45800" w:rsidRPr="00536ABE" w:rsidRDefault="00A45800" w:rsidP="00467321">
            <w:pPr>
              <w:spacing w:before="0" w:beforeAutospacing="0" w:after="0" w:afterAutospacing="0"/>
              <w:rPr>
                <w:rFonts w:eastAsia="Times New Roman" w:cs="Times New Roman"/>
                <w:szCs w:val="24"/>
                <w:lang w:eastAsia="de-DE"/>
              </w:rPr>
            </w:pPr>
          </w:p>
        </w:tc>
        <w:tc>
          <w:tcPr>
            <w:tcW w:w="5524" w:type="dxa"/>
          </w:tcPr>
          <w:p w14:paraId="48D6A6B9" w14:textId="77777777" w:rsidR="00A45800" w:rsidRPr="00536ABE" w:rsidRDefault="00A45800" w:rsidP="00467321">
            <w:pPr>
              <w:spacing w:before="0" w:beforeAutospacing="0" w:after="0" w:afterAutospacing="0"/>
              <w:rPr>
                <w:rFonts w:cs="Times New Roman"/>
                <w:szCs w:val="24"/>
              </w:rPr>
            </w:pPr>
            <w:r w:rsidRPr="00536ABE">
              <w:rPr>
                <w:rFonts w:cs="Times New Roman"/>
                <w:szCs w:val="24"/>
              </w:rPr>
              <w:t>Abschluss</w:t>
            </w:r>
          </w:p>
        </w:tc>
      </w:tr>
    </w:tbl>
    <w:p w14:paraId="5B5A78C0" w14:textId="7CDA52F8" w:rsidR="00467321" w:rsidRDefault="00467321" w:rsidP="00467321">
      <w:pPr>
        <w:pStyle w:val="berschrift2"/>
      </w:pPr>
      <w:r>
        <w:t>Semesterplan</w:t>
      </w:r>
    </w:p>
    <w:p w14:paraId="36848A9C" w14:textId="77777777" w:rsidR="00467321" w:rsidRDefault="00467321"/>
    <w:p w14:paraId="75C0E04B" w14:textId="77777777" w:rsidR="00467321" w:rsidRDefault="00467321"/>
    <w:p w14:paraId="4B8D47E4" w14:textId="77777777" w:rsidR="00607CF4" w:rsidRDefault="00607CF4"/>
    <w:p w14:paraId="10442C9D" w14:textId="1B8902A0" w:rsidR="00607CF4" w:rsidRDefault="00607CF4" w:rsidP="00607CF4">
      <w:pPr>
        <w:pStyle w:val="berschrift2"/>
      </w:pPr>
      <w:r>
        <w:t>Beschreibung</w:t>
      </w:r>
    </w:p>
    <w:p w14:paraId="20632964" w14:textId="060BDDAF" w:rsidR="00105385" w:rsidRDefault="00105385">
      <w:r>
        <w:t>Das Seminar hat zwei Teile. Im ersten Teil werden grundlegende Theorien und Designprinzipien zum Lernen mit Multimedia besprochen und anhand ausgewählter empirischer Befunde beleuchtet. Im zweiten Teil wird überlegt, welche digitalen Lernformate und Angebote sich für den schulischen Fachunterricht aus fachdidaktischer Perspektive eignen.</w:t>
      </w:r>
    </w:p>
    <w:p w14:paraId="1737933C" w14:textId="77777777" w:rsidR="00105385" w:rsidRDefault="00105385">
      <w:r>
        <w:t>Im ersten Teil des Seminars werden digitale Medien hinsichtlich zweier wesentlicher Eigenschaften betrachtet und eingeordnet: (1) multiple Repräsentationsformate und (2) Interaktivität. Ausgehend von kognitiven Theorien des Lernens mit Multimedia werden insbesondere ausgewählte Designprinzipien behandelt, die sich darauf beziehen, wie Informationen in Texten und Visualisierungen dargeboten werden sollten.</w:t>
      </w:r>
    </w:p>
    <w:p w14:paraId="4A182E3A" w14:textId="77777777" w:rsidR="00105385" w:rsidRDefault="00105385">
      <w:r>
        <w:t>Im zweiten Teil des Seminars wird recherchiert, welche digitalen Medien und Werkzeuge in ausgewählten Fächern (abhängig von den Fachkombinationen der teilnehmenden Studierenden) auf welche Weise zur Anwendung kommen. Am Beispiel der von den Studierenden selbst erstellten fachdidaktischen Vorgehensweisen zur Nutzung eines digitalen Werkzeugs / Medien zur begründeten Verfolgung bestimmter Lernziele werden Umsetzungen gestaltet, ausprobiert und reflektiert</w:t>
      </w:r>
      <w:r w:rsidR="002F7C38">
        <w:t>.</w:t>
      </w:r>
    </w:p>
    <w:p w14:paraId="1CB24136" w14:textId="77777777" w:rsidR="00105385" w:rsidRDefault="00105385">
      <w:r>
        <w:t>Die einführenden Seminarsitzungen werden vom Dozenten / der Dozentin gestaltet. Die Gestaltung einer Seminarsitzung (</w:t>
      </w:r>
      <w:r w:rsidR="00575B6E">
        <w:t>45</w:t>
      </w:r>
      <w:r>
        <w:t xml:space="preserve"> Minuten) ist </w:t>
      </w:r>
      <w:r w:rsidR="00575B6E">
        <w:t>von</w:t>
      </w:r>
      <w:r>
        <w:t xml:space="preserve"> Studierenden zu übernehmen. Diese kann die Vorstellung von Designprinzipien und die Betrachtung empirischer Ergebnisse thematisieren oder ein selbst entwickeltes fachdidaktisches Beispiel zur Nutzung digitaler Medien und Werkzeug im eigenen Fach. Die Vorbesprechung der Gestaltung einer Seminarsitzung mit der Dozentin/dem Dozenten ist obligatorisch. Darüber hinaus ist eine Hausarbeit (ca. </w:t>
      </w:r>
      <w:r w:rsidR="00575B6E">
        <w:t>10</w:t>
      </w:r>
      <w:r>
        <w:t xml:space="preserve"> Seiten) zu erstellen, die eine inhaltliche Zusammenfassung und das didaktische Konzept der Seminarsitzung sowie dessen Reflexion umfasst. Die Hausarbeiten dienen dem Seminar als gemeinsame Ergebnissicherung.</w:t>
      </w:r>
    </w:p>
    <w:p w14:paraId="7D7C7BCC" w14:textId="77777777" w:rsidR="00105385" w:rsidRDefault="00105385"/>
    <w:sectPr w:rsidR="00105385">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60443" w14:textId="77777777" w:rsidR="00AD7BE6" w:rsidRDefault="00AD7BE6" w:rsidP="003E291D">
      <w:pPr>
        <w:spacing w:before="0" w:after="0" w:line="240" w:lineRule="auto"/>
      </w:pPr>
      <w:r>
        <w:separator/>
      </w:r>
    </w:p>
  </w:endnote>
  <w:endnote w:type="continuationSeparator" w:id="0">
    <w:p w14:paraId="5CE2227C" w14:textId="77777777" w:rsidR="00AD7BE6" w:rsidRDefault="00AD7BE6" w:rsidP="003E291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C0921" w14:textId="77777777" w:rsidR="00EF6C80" w:rsidRDefault="00EF6C8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7202A" w14:textId="77777777" w:rsidR="00EF6C80" w:rsidRDefault="00EF6C80">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8BCB4" w14:textId="77777777" w:rsidR="00EF6C80" w:rsidRDefault="00EF6C8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198AB" w14:textId="77777777" w:rsidR="00AD7BE6" w:rsidRDefault="00AD7BE6" w:rsidP="003E291D">
      <w:pPr>
        <w:spacing w:before="0" w:after="0" w:line="240" w:lineRule="auto"/>
      </w:pPr>
      <w:r>
        <w:separator/>
      </w:r>
    </w:p>
  </w:footnote>
  <w:footnote w:type="continuationSeparator" w:id="0">
    <w:p w14:paraId="56B513F2" w14:textId="77777777" w:rsidR="00AD7BE6" w:rsidRDefault="00AD7BE6" w:rsidP="003E291D">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A7152" w14:textId="77777777" w:rsidR="00EF6C80" w:rsidRDefault="00EF6C8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FFD7B" w14:textId="6BA8C8D0" w:rsidR="003E291D" w:rsidRPr="003E291D" w:rsidRDefault="003E291D" w:rsidP="003E291D">
    <w:pPr>
      <w:pStyle w:val="berschrift1"/>
    </w:pPr>
    <w:r>
      <w:t>Lernen mit digitalen Medien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877CB" w14:textId="77777777" w:rsidR="00EF6C80" w:rsidRDefault="00EF6C8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409B8"/>
    <w:multiLevelType w:val="hybridMultilevel"/>
    <w:tmpl w:val="7FA20732"/>
    <w:lvl w:ilvl="0" w:tplc="7B1EAF52">
      <w:start w:val="2"/>
      <w:numFmt w:val="bullet"/>
      <w:lvlText w:val=""/>
      <w:lvlJc w:val="left"/>
      <w:pPr>
        <w:ind w:left="720" w:hanging="360"/>
      </w:pPr>
      <w:rPr>
        <w:rFonts w:ascii="Wingdings" w:eastAsiaTheme="minorHAnsi"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026431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91D"/>
    <w:rsid w:val="0000227E"/>
    <w:rsid w:val="00015AEC"/>
    <w:rsid w:val="00055BE4"/>
    <w:rsid w:val="00062913"/>
    <w:rsid w:val="000C3499"/>
    <w:rsid w:val="000D38F8"/>
    <w:rsid w:val="00105385"/>
    <w:rsid w:val="0010579B"/>
    <w:rsid w:val="00160040"/>
    <w:rsid w:val="001635F5"/>
    <w:rsid w:val="0017223A"/>
    <w:rsid w:val="001A2C67"/>
    <w:rsid w:val="002144DA"/>
    <w:rsid w:val="00236ECD"/>
    <w:rsid w:val="00247ACD"/>
    <w:rsid w:val="00256C01"/>
    <w:rsid w:val="00276A61"/>
    <w:rsid w:val="002F538C"/>
    <w:rsid w:val="002F7C38"/>
    <w:rsid w:val="0032750A"/>
    <w:rsid w:val="003321BC"/>
    <w:rsid w:val="00340FAB"/>
    <w:rsid w:val="003B15A6"/>
    <w:rsid w:val="003E291D"/>
    <w:rsid w:val="00411FD9"/>
    <w:rsid w:val="00421922"/>
    <w:rsid w:val="00444D02"/>
    <w:rsid w:val="00467321"/>
    <w:rsid w:val="0047641A"/>
    <w:rsid w:val="00483AD4"/>
    <w:rsid w:val="004F12F8"/>
    <w:rsid w:val="004F7238"/>
    <w:rsid w:val="00510C79"/>
    <w:rsid w:val="00536ABE"/>
    <w:rsid w:val="0055449F"/>
    <w:rsid w:val="00575B6E"/>
    <w:rsid w:val="00584DDD"/>
    <w:rsid w:val="005C421C"/>
    <w:rsid w:val="005F4343"/>
    <w:rsid w:val="00607CF4"/>
    <w:rsid w:val="00640032"/>
    <w:rsid w:val="00676023"/>
    <w:rsid w:val="006766F0"/>
    <w:rsid w:val="00683C0D"/>
    <w:rsid w:val="006B56C1"/>
    <w:rsid w:val="00724D78"/>
    <w:rsid w:val="00782B36"/>
    <w:rsid w:val="007D2AE8"/>
    <w:rsid w:val="00835306"/>
    <w:rsid w:val="008A17D2"/>
    <w:rsid w:val="008F26E7"/>
    <w:rsid w:val="00911667"/>
    <w:rsid w:val="0097584E"/>
    <w:rsid w:val="009861F6"/>
    <w:rsid w:val="00A32498"/>
    <w:rsid w:val="00A45800"/>
    <w:rsid w:val="00A75EFA"/>
    <w:rsid w:val="00A867D8"/>
    <w:rsid w:val="00A87E05"/>
    <w:rsid w:val="00AC3FA0"/>
    <w:rsid w:val="00AD7BE6"/>
    <w:rsid w:val="00B12E2E"/>
    <w:rsid w:val="00BC7272"/>
    <w:rsid w:val="00BD3FE4"/>
    <w:rsid w:val="00C040AA"/>
    <w:rsid w:val="00C2376E"/>
    <w:rsid w:val="00C360F7"/>
    <w:rsid w:val="00C614EA"/>
    <w:rsid w:val="00C913C4"/>
    <w:rsid w:val="00CA788C"/>
    <w:rsid w:val="00D15E19"/>
    <w:rsid w:val="00D17FA5"/>
    <w:rsid w:val="00D2432F"/>
    <w:rsid w:val="00D366E0"/>
    <w:rsid w:val="00D502AA"/>
    <w:rsid w:val="00D5360C"/>
    <w:rsid w:val="00DA1D7F"/>
    <w:rsid w:val="00DE4BAE"/>
    <w:rsid w:val="00E04381"/>
    <w:rsid w:val="00E10A8D"/>
    <w:rsid w:val="00E152A7"/>
    <w:rsid w:val="00E17923"/>
    <w:rsid w:val="00E26BBC"/>
    <w:rsid w:val="00E50656"/>
    <w:rsid w:val="00E971A6"/>
    <w:rsid w:val="00EC5766"/>
    <w:rsid w:val="00EE6C80"/>
    <w:rsid w:val="00EF6C80"/>
    <w:rsid w:val="00F22266"/>
    <w:rsid w:val="00F376E9"/>
    <w:rsid w:val="00F432B9"/>
    <w:rsid w:val="00F74BBC"/>
    <w:rsid w:val="00F97A21"/>
    <w:rsid w:val="00FB0D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B9B68"/>
  <w15:chartTrackingRefBased/>
  <w15:docId w15:val="{553618FB-61B6-47C1-AAA3-55CBFFD68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7223A"/>
    <w:pPr>
      <w:spacing w:before="100" w:beforeAutospacing="1" w:after="100" w:afterAutospacing="1" w:line="360" w:lineRule="auto"/>
    </w:pPr>
    <w:rPr>
      <w:rFonts w:ascii="Times New Roman" w:hAnsi="Times New Roman"/>
      <w:sz w:val="24"/>
    </w:rPr>
  </w:style>
  <w:style w:type="paragraph" w:styleId="berschrift1">
    <w:name w:val="heading 1"/>
    <w:basedOn w:val="Standard"/>
    <w:next w:val="Standard"/>
    <w:link w:val="berschrift1Zchn"/>
    <w:uiPriority w:val="9"/>
    <w:qFormat/>
    <w:rsid w:val="00A87E05"/>
    <w:pPr>
      <w:keepNext/>
      <w:keepLines/>
      <w:jc w:val="center"/>
      <w:outlineLvl w:val="0"/>
    </w:pPr>
    <w:rPr>
      <w:rFonts w:ascii="Arial" w:eastAsiaTheme="majorEastAsia" w:hAnsi="Arial" w:cstheme="majorBidi"/>
      <w:b/>
      <w:sz w:val="28"/>
      <w:szCs w:val="32"/>
    </w:rPr>
  </w:style>
  <w:style w:type="paragraph" w:styleId="berschrift2">
    <w:name w:val="heading 2"/>
    <w:basedOn w:val="Standard"/>
    <w:next w:val="Standard"/>
    <w:link w:val="berschrift2Zchn"/>
    <w:uiPriority w:val="9"/>
    <w:unhideWhenUsed/>
    <w:qFormat/>
    <w:rsid w:val="00A87E05"/>
    <w:pPr>
      <w:keepNext/>
      <w:keepLines/>
      <w:outlineLvl w:val="1"/>
    </w:pPr>
    <w:rPr>
      <w:rFonts w:ascii="Arial" w:eastAsiaTheme="majorEastAsia" w:hAnsi="Arial" w:cstheme="majorBidi"/>
      <w:b/>
      <w:sz w:val="28"/>
      <w:szCs w:val="26"/>
    </w:rPr>
  </w:style>
  <w:style w:type="paragraph" w:styleId="berschrift3">
    <w:name w:val="heading 3"/>
    <w:basedOn w:val="Standard"/>
    <w:next w:val="Standard"/>
    <w:link w:val="berschrift3Zchn"/>
    <w:uiPriority w:val="9"/>
    <w:unhideWhenUsed/>
    <w:qFormat/>
    <w:rsid w:val="00FB0DA0"/>
    <w:pPr>
      <w:keepNext/>
      <w:keepLines/>
      <w:ind w:firstLine="709"/>
      <w:outlineLvl w:val="2"/>
    </w:pPr>
    <w:rPr>
      <w:rFonts w:ascii="Arial" w:eastAsiaTheme="majorEastAsia" w:hAnsi="Arial" w:cstheme="majorBidi"/>
      <w:b/>
      <w:sz w:val="28"/>
    </w:rPr>
  </w:style>
  <w:style w:type="paragraph" w:styleId="berschrift4">
    <w:name w:val="heading 4"/>
    <w:basedOn w:val="Standard"/>
    <w:next w:val="Standard"/>
    <w:link w:val="berschrift4Zchn"/>
    <w:uiPriority w:val="9"/>
    <w:unhideWhenUsed/>
    <w:qFormat/>
    <w:rsid w:val="00B12E2E"/>
    <w:pPr>
      <w:keepNext/>
      <w:keepLines/>
      <w:ind w:firstLine="709"/>
      <w:outlineLvl w:val="3"/>
    </w:pPr>
    <w:rPr>
      <w:rFonts w:ascii="Arial" w:eastAsiaTheme="majorEastAsia" w:hAnsi="Arial" w:cstheme="majorBidi"/>
      <w:b/>
      <w:i/>
      <w:iCs/>
      <w:sz w:val="28"/>
    </w:rPr>
  </w:style>
  <w:style w:type="paragraph" w:styleId="berschrift5">
    <w:name w:val="heading 5"/>
    <w:basedOn w:val="Standard"/>
    <w:next w:val="Standard"/>
    <w:link w:val="berschrift5Zchn"/>
    <w:uiPriority w:val="9"/>
    <w:unhideWhenUsed/>
    <w:qFormat/>
    <w:rsid w:val="00483AD4"/>
    <w:pPr>
      <w:ind w:firstLine="709"/>
      <w:outlineLvl w:val="4"/>
    </w:pPr>
    <w:rPr>
      <w:rFonts w:ascii="Arial" w:hAnsi="Arial"/>
      <w:bCs/>
      <w:i/>
      <w:iCs/>
      <w:sz w:val="28"/>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87E05"/>
    <w:rPr>
      <w:rFonts w:eastAsiaTheme="majorEastAsia" w:cstheme="majorBidi"/>
      <w:b/>
      <w:sz w:val="28"/>
      <w:szCs w:val="32"/>
    </w:rPr>
  </w:style>
  <w:style w:type="character" w:customStyle="1" w:styleId="berschrift2Zchn">
    <w:name w:val="Überschrift 2 Zchn"/>
    <w:basedOn w:val="Absatz-Standardschriftart"/>
    <w:link w:val="berschrift2"/>
    <w:uiPriority w:val="9"/>
    <w:rsid w:val="00A87E05"/>
    <w:rPr>
      <w:rFonts w:eastAsiaTheme="majorEastAsia" w:cstheme="majorBidi"/>
      <w:b/>
      <w:sz w:val="28"/>
      <w:szCs w:val="26"/>
    </w:rPr>
  </w:style>
  <w:style w:type="character" w:customStyle="1" w:styleId="berschrift3Zchn">
    <w:name w:val="Überschrift 3 Zchn"/>
    <w:basedOn w:val="Absatz-Standardschriftart"/>
    <w:link w:val="berschrift3"/>
    <w:uiPriority w:val="9"/>
    <w:rsid w:val="00FB0DA0"/>
    <w:rPr>
      <w:rFonts w:eastAsiaTheme="majorEastAsia" w:cstheme="majorBidi"/>
      <w:b/>
      <w:sz w:val="28"/>
      <w:szCs w:val="24"/>
    </w:rPr>
  </w:style>
  <w:style w:type="character" w:customStyle="1" w:styleId="berschrift4Zchn">
    <w:name w:val="Überschrift 4 Zchn"/>
    <w:basedOn w:val="Absatz-Standardschriftart"/>
    <w:link w:val="berschrift4"/>
    <w:uiPriority w:val="9"/>
    <w:rsid w:val="00B12E2E"/>
    <w:rPr>
      <w:rFonts w:eastAsiaTheme="majorEastAsia" w:cstheme="majorBidi"/>
      <w:b/>
      <w:i/>
      <w:iCs/>
      <w:sz w:val="28"/>
      <w:szCs w:val="24"/>
    </w:rPr>
  </w:style>
  <w:style w:type="paragraph" w:styleId="Listenabsatz">
    <w:name w:val="List Paragraph"/>
    <w:basedOn w:val="Standard"/>
    <w:uiPriority w:val="34"/>
    <w:qFormat/>
    <w:rsid w:val="00FB0DA0"/>
    <w:pPr>
      <w:ind w:left="720"/>
      <w:contextualSpacing/>
    </w:pPr>
  </w:style>
  <w:style w:type="paragraph" w:styleId="Titel">
    <w:name w:val="Title"/>
    <w:basedOn w:val="Standard"/>
    <w:next w:val="Standard"/>
    <w:link w:val="TitelZchn"/>
    <w:uiPriority w:val="10"/>
    <w:qFormat/>
    <w:rsid w:val="00F376E9"/>
    <w:pPr>
      <w:spacing w:after="0" w:line="240" w:lineRule="auto"/>
      <w:ind w:firstLine="709"/>
      <w:contextualSpacing/>
    </w:pPr>
    <w:rPr>
      <w:rFonts w:ascii="Arial" w:eastAsiaTheme="majorEastAsia" w:hAnsi="Arial" w:cstheme="majorBidi"/>
      <w:b/>
      <w:spacing w:val="-10"/>
      <w:kern w:val="28"/>
      <w:sz w:val="28"/>
      <w:szCs w:val="56"/>
    </w:rPr>
  </w:style>
  <w:style w:type="character" w:customStyle="1" w:styleId="TitelZchn">
    <w:name w:val="Titel Zchn"/>
    <w:basedOn w:val="Absatz-Standardschriftart"/>
    <w:link w:val="Titel"/>
    <w:uiPriority w:val="10"/>
    <w:rsid w:val="00F376E9"/>
    <w:rPr>
      <w:rFonts w:eastAsiaTheme="majorEastAsia" w:cstheme="majorBidi"/>
      <w:b/>
      <w:spacing w:val="-10"/>
      <w:kern w:val="28"/>
      <w:sz w:val="28"/>
      <w:szCs w:val="56"/>
    </w:rPr>
  </w:style>
  <w:style w:type="character" w:customStyle="1" w:styleId="berschrift5Zchn">
    <w:name w:val="Überschrift 5 Zchn"/>
    <w:basedOn w:val="Absatz-Standardschriftart"/>
    <w:link w:val="berschrift5"/>
    <w:uiPriority w:val="9"/>
    <w:rsid w:val="00483AD4"/>
    <w:rPr>
      <w:rFonts w:eastAsiaTheme="minorEastAsia"/>
      <w:bCs/>
      <w:i/>
      <w:iCs/>
      <w:sz w:val="28"/>
      <w:szCs w:val="26"/>
    </w:rPr>
  </w:style>
  <w:style w:type="character" w:styleId="Hyperlink">
    <w:name w:val="Hyperlink"/>
    <w:basedOn w:val="Absatz-Standardschriftart"/>
    <w:uiPriority w:val="99"/>
    <w:semiHidden/>
    <w:unhideWhenUsed/>
    <w:rsid w:val="003E291D"/>
    <w:rPr>
      <w:color w:val="0000FF"/>
      <w:u w:val="single"/>
    </w:rPr>
  </w:style>
  <w:style w:type="table" w:styleId="Tabellenraster">
    <w:name w:val="Table Grid"/>
    <w:basedOn w:val="NormaleTabelle"/>
    <w:uiPriority w:val="39"/>
    <w:rsid w:val="003E29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3E291D"/>
    <w:pPr>
      <w:tabs>
        <w:tab w:val="center" w:pos="4536"/>
        <w:tab w:val="right" w:pos="9072"/>
      </w:tabs>
      <w:spacing w:before="0" w:after="0" w:line="240" w:lineRule="auto"/>
    </w:pPr>
  </w:style>
  <w:style w:type="character" w:customStyle="1" w:styleId="KopfzeileZchn">
    <w:name w:val="Kopfzeile Zchn"/>
    <w:basedOn w:val="Absatz-Standardschriftart"/>
    <w:link w:val="Kopfzeile"/>
    <w:uiPriority w:val="99"/>
    <w:rsid w:val="003E291D"/>
    <w:rPr>
      <w:rFonts w:ascii="Times New Roman" w:hAnsi="Times New Roman"/>
      <w:sz w:val="24"/>
    </w:rPr>
  </w:style>
  <w:style w:type="paragraph" w:styleId="Fuzeile">
    <w:name w:val="footer"/>
    <w:basedOn w:val="Standard"/>
    <w:link w:val="FuzeileZchn"/>
    <w:uiPriority w:val="99"/>
    <w:unhideWhenUsed/>
    <w:rsid w:val="003E291D"/>
    <w:pPr>
      <w:tabs>
        <w:tab w:val="center" w:pos="4536"/>
        <w:tab w:val="right" w:pos="9072"/>
      </w:tabs>
      <w:spacing w:before="0" w:after="0" w:line="240" w:lineRule="auto"/>
    </w:pPr>
  </w:style>
  <w:style w:type="character" w:customStyle="1" w:styleId="FuzeileZchn">
    <w:name w:val="Fußzeile Zchn"/>
    <w:basedOn w:val="Absatz-Standardschriftart"/>
    <w:link w:val="Fuzeile"/>
    <w:uiPriority w:val="99"/>
    <w:rsid w:val="003E291D"/>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5068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410</Words>
  <Characters>2583</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awaag</dc:creator>
  <cp:keywords/>
  <dc:description/>
  <cp:lastModifiedBy>Anne-Sophie Waag</cp:lastModifiedBy>
  <cp:revision>6</cp:revision>
  <dcterms:created xsi:type="dcterms:W3CDTF">2022-10-26T11:59:00Z</dcterms:created>
  <dcterms:modified xsi:type="dcterms:W3CDTF">2022-10-26T12:01:00Z</dcterms:modified>
</cp:coreProperties>
</file>